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CORNO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after="0" w:lineRule="auto"/>
        <w:rPr>
          <w:color w:val="bf9000"/>
          <w:sz w:val="22"/>
          <w:szCs w:val="22"/>
          <w:u w:val="single"/>
        </w:rPr>
      </w:pPr>
      <w:bookmarkStart w:colFirst="0" w:colLast="0" w:name="_pa73i51g9wv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Vivrò nel campo, nel campo triste,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dove suonano il corno,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lo suono anch'io, lo suono anch'io.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giorni tanto belli passavo con lei,</w:t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perché io l’amavo con tutta la tenerezza;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 lei piango, per lei piango.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Perciò, viandante, se per caso la trovi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dille che senza di lei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non esisto, io non esisto.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Perché per il nativo basta il suo corno,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suona sulla sua tomba quando il sole muore,</w:t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quando il sole muore, quando il sole muore.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Ogni chacasino sull’altopiano canta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alla sua Madonna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il suo flauto e la sua voce,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il suo flauto e la sua voce.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Cara Mamma, Tu mi vuoi bene,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anche io te ne voglio e mi rallegro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rtl w:val="0"/>
        </w:rPr>
        <w:t xml:space="preserve">nel suonare per te, nel suonare per te.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